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40" w:line="241.50000000000003" w:lineRule="auto"/>
        <w:contextualSpacing w:val="0"/>
        <w:rPr>
          <w:b w:val="1"/>
          <w:color w:val="666699"/>
          <w:sz w:val="24"/>
          <w:szCs w:val="24"/>
          <w:highlight w:val="white"/>
          <w:u w:val="single"/>
        </w:rPr>
      </w:pPr>
      <w:r w:rsidDel="00000000" w:rsidR="00000000" w:rsidRPr="00000000">
        <w:fldChar w:fldCharType="begin"/>
        <w:instrText xml:space="preserve"> HYPERLINK "http://www.consultant.ru/document/cons_doc_LAW_34661/" </w:instrText>
        <w:fldChar w:fldCharType="separate"/>
      </w:r>
      <w:r w:rsidDel="00000000" w:rsidR="00000000" w:rsidRPr="00000000">
        <w:rPr>
          <w:b w:val="1"/>
          <w:color w:val="666699"/>
          <w:sz w:val="24"/>
          <w:szCs w:val="24"/>
          <w:highlight w:val="white"/>
          <w:u w:val="single"/>
          <w:rtl w:val="0"/>
        </w:rPr>
        <w:t xml:space="preserve">"Кодекс Российской Федерации об административных правонарушениях" от 30.12.2001 N 195-ФЗ (ред. от 23.04.2018)</w:t>
      </w:r>
    </w:p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80" w:before="120" w:line="289.8" w:lineRule="auto"/>
        <w:ind w:firstLine="540"/>
        <w:contextualSpacing w:val="0"/>
        <w:jc w:val="both"/>
        <w:rPr>
          <w:b w:val="1"/>
          <w:color w:val="333333"/>
          <w:sz w:val="24"/>
          <w:szCs w:val="24"/>
        </w:rPr>
      </w:pPr>
      <w:bookmarkStart w:colFirst="0" w:colLast="0" w:name="_b1b1fj8qxthh" w:id="0"/>
      <w:bookmarkEnd w:id="0"/>
      <w:r w:rsidDel="00000000" w:rsidR="00000000" w:rsidRPr="00000000">
        <w:fldChar w:fldCharType="end"/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Статья 20.4. Нарушение </w:t>
      </w:r>
      <w:hyperlink r:id="rId6">
        <w:r w:rsidDel="00000000" w:rsidR="00000000" w:rsidRPr="00000000">
          <w:rPr>
            <w:b w:val="1"/>
            <w:color w:val="666699"/>
            <w:sz w:val="24"/>
            <w:szCs w:val="24"/>
            <w:u w:val="single"/>
            <w:rtl w:val="0"/>
          </w:rPr>
          <w:t xml:space="preserve">требований</w:t>
        </w:r>
      </w:hyperlink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 пожарной безопасности</w:t>
      </w:r>
    </w:p>
    <w:p w:rsidR="00000000" w:rsidDel="00000000" w:rsidP="00000000" w:rsidRDefault="00000000" w:rsidRPr="00000000" w14:paraId="00000002">
      <w:pPr>
        <w:spacing w:after="240" w:before="120" w:line="289.8" w:lineRule="auto"/>
        <w:ind w:firstLine="54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1. Нарушение требований пожарной безопасности, за исключением случаев, предусмотренных </w:t>
      </w:r>
      <w:hyperlink r:id="rId7">
        <w:r w:rsidDel="00000000" w:rsidR="00000000" w:rsidRPr="00000000">
          <w:rPr>
            <w:color w:val="666699"/>
            <w:sz w:val="24"/>
            <w:szCs w:val="24"/>
            <w:u w:val="single"/>
            <w:rtl w:val="0"/>
          </w:rPr>
          <w:t xml:space="preserve">статьями 8.32</w:t>
        </w:r>
      </w:hyperlink>
      <w:r w:rsidDel="00000000" w:rsidR="00000000" w:rsidRPr="00000000">
        <w:rPr>
          <w:color w:val="333333"/>
          <w:sz w:val="24"/>
          <w:szCs w:val="24"/>
          <w:rtl w:val="0"/>
        </w:rPr>
        <w:t xml:space="preserve"> и </w:t>
      </w:r>
      <w:hyperlink r:id="rId8">
        <w:r w:rsidDel="00000000" w:rsidR="00000000" w:rsidRPr="00000000">
          <w:rPr>
            <w:color w:val="666699"/>
            <w:sz w:val="24"/>
            <w:szCs w:val="24"/>
            <w:u w:val="single"/>
            <w:rtl w:val="0"/>
          </w:rPr>
          <w:t xml:space="preserve">11.16</w:t>
        </w:r>
      </w:hyperlink>
      <w:r w:rsidDel="00000000" w:rsidR="00000000" w:rsidRPr="00000000">
        <w:rPr>
          <w:color w:val="333333"/>
          <w:sz w:val="24"/>
          <w:szCs w:val="24"/>
          <w:rtl w:val="0"/>
        </w:rPr>
        <w:t xml:space="preserve"> настоящего Кодекса и </w:t>
      </w:r>
      <w:hyperlink r:id="rId9">
        <w:r w:rsidDel="00000000" w:rsidR="00000000" w:rsidRPr="00000000">
          <w:rPr>
            <w:color w:val="666699"/>
            <w:sz w:val="24"/>
            <w:szCs w:val="24"/>
            <w:u w:val="single"/>
            <w:rtl w:val="0"/>
          </w:rPr>
          <w:t xml:space="preserve">частями 6</w:t>
        </w:r>
      </w:hyperlink>
      <w:r w:rsidDel="00000000" w:rsidR="00000000" w:rsidRPr="00000000">
        <w:rPr>
          <w:color w:val="333333"/>
          <w:sz w:val="24"/>
          <w:szCs w:val="24"/>
          <w:rtl w:val="0"/>
        </w:rPr>
        <w:t xml:space="preserve">, </w:t>
      </w:r>
      <w:hyperlink r:id="rId10">
        <w:r w:rsidDel="00000000" w:rsidR="00000000" w:rsidRPr="00000000">
          <w:rPr>
            <w:color w:val="666699"/>
            <w:sz w:val="24"/>
            <w:szCs w:val="24"/>
            <w:u w:val="single"/>
            <w:rtl w:val="0"/>
          </w:rPr>
          <w:t xml:space="preserve">6.1</w:t>
        </w:r>
      </w:hyperlink>
      <w:r w:rsidDel="00000000" w:rsidR="00000000" w:rsidRPr="00000000">
        <w:rPr>
          <w:color w:val="333333"/>
          <w:sz w:val="24"/>
          <w:szCs w:val="24"/>
          <w:rtl w:val="0"/>
        </w:rPr>
        <w:t xml:space="preserve"> и </w:t>
      </w:r>
      <w:hyperlink r:id="rId11">
        <w:r w:rsidDel="00000000" w:rsidR="00000000" w:rsidRPr="00000000">
          <w:rPr>
            <w:color w:val="666699"/>
            <w:sz w:val="24"/>
            <w:szCs w:val="24"/>
            <w:u w:val="single"/>
            <w:rtl w:val="0"/>
          </w:rPr>
          <w:t xml:space="preserve">7</w:t>
        </w:r>
      </w:hyperlink>
      <w:r w:rsidDel="00000000" w:rsidR="00000000" w:rsidRPr="00000000">
        <w:rPr>
          <w:color w:val="333333"/>
          <w:sz w:val="24"/>
          <w:szCs w:val="24"/>
          <w:rtl w:val="0"/>
        </w:rPr>
        <w:t xml:space="preserve"> настоящей статьи, -</w:t>
      </w:r>
    </w:p>
    <w:p w:rsidR="00000000" w:rsidDel="00000000" w:rsidP="00000000" w:rsidRDefault="00000000" w:rsidRPr="00000000" w14:paraId="00000003">
      <w:pPr>
        <w:spacing w:after="240" w:before="120" w:line="289.8" w:lineRule="auto"/>
        <w:ind w:firstLine="54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</w:t>
      </w:r>
    </w:p>
    <w:p w:rsidR="00000000" w:rsidDel="00000000" w:rsidP="00000000" w:rsidRDefault="00000000" w:rsidRPr="00000000" w14:paraId="00000004">
      <w:pPr>
        <w:spacing w:after="240" w:before="120" w:line="289.8" w:lineRule="auto"/>
        <w:ind w:firstLine="54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2. Те же действия, совершенные в условиях </w:t>
      </w:r>
      <w:hyperlink r:id="rId12">
        <w:r w:rsidDel="00000000" w:rsidR="00000000" w:rsidRPr="00000000">
          <w:rPr>
            <w:color w:val="666699"/>
            <w:sz w:val="24"/>
            <w:szCs w:val="24"/>
            <w:u w:val="single"/>
            <w:rtl w:val="0"/>
          </w:rPr>
          <w:t xml:space="preserve">особого противопожарного режима</w:t>
        </w:r>
      </w:hyperlink>
      <w:r w:rsidDel="00000000" w:rsidR="00000000" w:rsidRPr="00000000">
        <w:rPr>
          <w:color w:val="333333"/>
          <w:sz w:val="24"/>
          <w:szCs w:val="24"/>
          <w:rtl w:val="0"/>
        </w:rPr>
        <w:t xml:space="preserve">, -</w:t>
      </w:r>
    </w:p>
    <w:p w:rsidR="00000000" w:rsidDel="00000000" w:rsidP="00000000" w:rsidRDefault="00000000" w:rsidRPr="00000000" w14:paraId="00000005">
      <w:pPr>
        <w:spacing w:after="240" w:before="120" w:line="289.8" w:lineRule="auto"/>
        <w:ind w:firstLine="54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влекут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</w:p>
    <w:p w:rsidR="00000000" w:rsidDel="00000000" w:rsidP="00000000" w:rsidRDefault="00000000" w:rsidRPr="00000000" w14:paraId="00000006">
      <w:pPr>
        <w:spacing w:after="240" w:before="120" w:line="289.8" w:lineRule="auto"/>
        <w:ind w:firstLine="54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-</w:t>
      </w:r>
    </w:p>
    <w:p w:rsidR="00000000" w:rsidDel="00000000" w:rsidP="00000000" w:rsidRDefault="00000000" w:rsidRPr="00000000" w14:paraId="00000007">
      <w:pPr>
        <w:spacing w:after="240" w:before="120" w:line="289.8" w:lineRule="auto"/>
        <w:ind w:firstLine="54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юридических лиц - от трехсот пятидесяти тысяч до четырехсот тысяч рублей.</w:t>
      </w:r>
    </w:p>
    <w:p w:rsidR="00000000" w:rsidDel="00000000" w:rsidP="00000000" w:rsidRDefault="00000000" w:rsidRPr="00000000" w14:paraId="00000008">
      <w:pPr>
        <w:spacing w:after="240" w:before="120" w:line="289.8" w:lineRule="auto"/>
        <w:ind w:firstLine="54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6.1. Нарушение требований пожарной безопасности, повлекшее возникновение пожара и причинение тяжкого вреда здоровью человека или смерть человека, -</w:t>
      </w:r>
    </w:p>
    <w:p w:rsidR="00000000" w:rsidDel="00000000" w:rsidP="00000000" w:rsidRDefault="00000000" w:rsidRPr="00000000" w14:paraId="00000009">
      <w:pPr>
        <w:spacing w:after="240" w:before="120" w:line="289.8" w:lineRule="auto"/>
        <w:ind w:firstLine="54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суток.</w:t>
      </w:r>
    </w:p>
    <w:sectPr>
      <w:headerReference r:id="rId13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consultant.ru/document/cons_doc_LAW_296554/9a42a7dcbc6d4d4b091d2e491b723161b4912163/#dst2699" TargetMode="External"/><Relationship Id="rId10" Type="http://schemas.openxmlformats.org/officeDocument/2006/relationships/hyperlink" Target="http://www.consultant.ru/document/cons_doc_LAW_296554/9a42a7dcbc6d4d4b091d2e491b723161b4912163/#dst3831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consultant.ru/document/cons_doc_LAW_221356/2dafcc9f8f2d8b800512e96ec8914d9155752f96/#dst10030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nsultant.ru/document/cons_doc_LAW_296554/9a42a7dcbc6d4d4b091d2e491b723161b4912163/#dst2697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consultant.ru/document/cons_doc_LAW_106125/#dst0" TargetMode="External"/><Relationship Id="rId7" Type="http://schemas.openxmlformats.org/officeDocument/2006/relationships/hyperlink" Target="http://www.consultant.ru/document/cons_doc_LAW_296554/3451df28a5d84be6817928ab88c3da04bb25404e/#dst2431" TargetMode="External"/><Relationship Id="rId8" Type="http://schemas.openxmlformats.org/officeDocument/2006/relationships/hyperlink" Target="http://www.consultant.ru/document/cons_doc_LAW_296554/be5354a8079bd0b55f654308b9c4a5b2d08c18de/#dst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