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РОССИЙСКАЯ ФЕДЕРАЦИЯ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contextualSpacing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ФЕДЕРАЛЬНЫЙ ЗАКОН</w:t>
      </w:r>
    </w:p>
    <w:p w:rsidR="00000000" w:rsidDel="00000000" w:rsidP="00000000" w:rsidRDefault="00000000" w:rsidRPr="00000000" w14:paraId="00000004">
      <w:pPr>
        <w:spacing w:line="240" w:lineRule="auto"/>
        <w:contextualSpacing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О КОНТРАКТНОЙ СИСТЕМЕ</w:t>
      </w:r>
    </w:p>
    <w:p w:rsidR="00000000" w:rsidDel="00000000" w:rsidP="00000000" w:rsidRDefault="00000000" w:rsidRPr="00000000" w14:paraId="00000006">
      <w:pPr>
        <w:spacing w:line="240" w:lineRule="auto"/>
        <w:contextualSpacing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В СФЕРЕ ЗАКУПОК ТОВАРОВ, РАБОТ, УСЛУГ ДЛЯ ОБЕСПЕЧЕНИЯ</w:t>
      </w:r>
    </w:p>
    <w:p w:rsidR="00000000" w:rsidDel="00000000" w:rsidP="00000000" w:rsidRDefault="00000000" w:rsidRPr="00000000" w14:paraId="00000007">
      <w:pPr>
        <w:spacing w:line="240" w:lineRule="auto"/>
        <w:contextualSpacing w:val="0"/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ГОСУДАРСТВЕННЫХ И МУНИЦИПАЛЬНЫХ НУЖД</w:t>
      </w:r>
    </w:p>
    <w:p w:rsidR="00000000" w:rsidDel="00000000" w:rsidP="00000000" w:rsidRDefault="00000000" w:rsidRPr="00000000" w14:paraId="00000008">
      <w:pPr>
        <w:spacing w:line="240" w:lineRule="auto"/>
        <w:ind w:firstLine="540"/>
        <w:contextualSpacing w:val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Принят</w:t>
      </w:r>
    </w:p>
    <w:p w:rsidR="00000000" w:rsidDel="00000000" w:rsidP="00000000" w:rsidRDefault="00000000" w:rsidRPr="00000000" w14:paraId="0000000A">
      <w:pPr>
        <w:spacing w:line="240" w:lineRule="auto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Государственной Думой</w:t>
      </w:r>
    </w:p>
    <w:p w:rsidR="00000000" w:rsidDel="00000000" w:rsidP="00000000" w:rsidRDefault="00000000" w:rsidRPr="00000000" w14:paraId="0000000B">
      <w:pPr>
        <w:spacing w:line="240" w:lineRule="auto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22 марта 2013 года</w:t>
      </w:r>
    </w:p>
    <w:p w:rsidR="00000000" w:rsidDel="00000000" w:rsidP="00000000" w:rsidRDefault="00000000" w:rsidRPr="00000000" w14:paraId="0000000C">
      <w:pPr>
        <w:spacing w:line="240" w:lineRule="auto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Одобрен</w:t>
      </w:r>
    </w:p>
    <w:p w:rsidR="00000000" w:rsidDel="00000000" w:rsidP="00000000" w:rsidRDefault="00000000" w:rsidRPr="00000000" w14:paraId="0000000E">
      <w:pPr>
        <w:spacing w:line="240" w:lineRule="auto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Советом Федерации</w:t>
      </w:r>
    </w:p>
    <w:p w:rsidR="00000000" w:rsidDel="00000000" w:rsidP="00000000" w:rsidRDefault="00000000" w:rsidRPr="00000000" w14:paraId="0000000F">
      <w:pPr>
        <w:spacing w:line="240" w:lineRule="auto"/>
        <w:contextualSpacing w:val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27 марта 2013 года</w:t>
      </w:r>
    </w:p>
    <w:p w:rsidR="00000000" w:rsidDel="00000000" w:rsidP="00000000" w:rsidRDefault="00000000" w:rsidRPr="00000000" w14:paraId="00000010">
      <w:pPr>
        <w:spacing w:line="240" w:lineRule="auto"/>
        <w:ind w:firstLine="54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bookmarkStart w:colFirst="0" w:colLast="0" w:name="kix.qbv30k1duls8" w:id="0"/>
    <w:bookmarkEnd w:id="0"/>
    <w:p w:rsidR="00000000" w:rsidDel="00000000" w:rsidP="00000000" w:rsidRDefault="00000000" w:rsidRPr="00000000" w14:paraId="00000011">
      <w:pPr>
        <w:spacing w:line="240" w:lineRule="auto"/>
        <w:ind w:firstLine="540"/>
        <w:contextualSpacing w:val="0"/>
        <w:jc w:val="both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Статья 33. Правила описания объекта закупки</w:t>
      </w:r>
    </w:p>
    <w:p w:rsidR="00000000" w:rsidDel="00000000" w:rsidP="00000000" w:rsidRDefault="00000000" w:rsidRPr="00000000" w14:paraId="00000012">
      <w:pPr>
        <w:spacing w:line="240" w:lineRule="auto"/>
        <w:ind w:firstLine="540"/>
        <w:contextualSpacing w:val="0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bookmarkStart w:colFirst="0" w:colLast="0" w:name="kix.plgm7tovjr7z" w:id="1"/>
    <w:bookmarkEnd w:id="1"/>
    <w:p w:rsidR="00000000" w:rsidDel="00000000" w:rsidP="00000000" w:rsidRDefault="00000000" w:rsidRPr="00000000" w14:paraId="00000013">
      <w:pPr>
        <w:spacing w:line="240" w:lineRule="auto"/>
        <w:ind w:firstLine="540"/>
        <w:contextualSpacing w:val="0"/>
        <w:jc w:val="both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rtl w:val="0"/>
        </w:rPr>
        <w:t xml:space="preserve">1.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 Заказчик при описании в документации о закупке объекта закупки должен руководствоваться следующими правилами:</w:t>
      </w:r>
    </w:p>
    <w:p w:rsidR="00000000" w:rsidDel="00000000" w:rsidP="00000000" w:rsidRDefault="00000000" w:rsidRPr="00000000" w14:paraId="00000014">
      <w:pPr>
        <w:spacing w:before="200" w:line="240" w:lineRule="auto"/>
        <w:ind w:firstLine="54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 Допускается использование в описании объекта закупки указания на товарный знак при условии сопровождения такого указания словами "или эквивалент" либо при условии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заказчиком, либо при условии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оборудование;</w:t>
      </w:r>
    </w:p>
    <w:p w:rsidR="00000000" w:rsidDel="00000000" w:rsidP="00000000" w:rsidRDefault="00000000" w:rsidRPr="00000000" w14:paraId="00000015">
      <w:pPr>
        <w:spacing w:line="240" w:lineRule="auto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(п. 1 в ред. Федерального закона от 31.12.2017 N 504-ФЗ)</w:t>
      </w:r>
    </w:p>
    <w:p w:rsidR="00000000" w:rsidDel="00000000" w:rsidP="00000000" w:rsidRDefault="00000000" w:rsidRPr="00000000" w14:paraId="00000016">
      <w:pPr>
        <w:spacing w:before="200" w:line="240" w:lineRule="auto"/>
        <w:ind w:firstLine="540"/>
        <w:contextualSpacing w:val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2)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использование при составлении описания объекта закупки показателей, требований,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highlight w:val="yellow"/>
          <w:rtl w:val="0"/>
        </w:rPr>
        <w:t xml:space="preserve">условных обозначений и терминологии, касающихся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</w:t>
      </w:r>
      <w:r w:rsidDel="00000000" w:rsidR="00000000" w:rsidRPr="00000000">
        <w:rPr>
          <w:sz w:val="20"/>
          <w:szCs w:val="20"/>
          <w:rtl w:val="0"/>
        </w:rPr>
        <w:t xml:space="preserve">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регулировании, законодательством Российской Федерации о стандартизации показатели, требования, условные обозначения и терминология, в документации о закупке должно содержаться обоснование необходимости использования других показателей, требований, условных обозначений и терминологии;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мчс-аккредитация.рф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